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0687E" w14:textId="77777777" w:rsidR="00B829C5" w:rsidRPr="00C2730B" w:rsidRDefault="00C2730B" w:rsidP="00D04926">
      <w:pPr>
        <w:rPr>
          <w:rFonts w:ascii="標楷體" w:eastAsia="標楷體" w:hAnsi="標楷體"/>
          <w:sz w:val="40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4"/>
        </w:rPr>
        <w:t xml:space="preserve">    </w:t>
      </w:r>
      <w:r w:rsidR="00CE0456" w:rsidRPr="00C2730B">
        <w:rPr>
          <w:rFonts w:ascii="標楷體" w:eastAsia="標楷體" w:hAnsi="標楷體" w:hint="eastAsia"/>
          <w:sz w:val="40"/>
          <w:szCs w:val="44"/>
        </w:rPr>
        <w:t>屏東縣政府審核返鄉從農青年</w:t>
      </w:r>
      <w:r w:rsidR="008B7988" w:rsidRPr="00C2730B">
        <w:rPr>
          <w:rFonts w:ascii="標楷體" w:eastAsia="標楷體" w:hAnsi="標楷體" w:hint="eastAsia"/>
          <w:sz w:val="40"/>
          <w:szCs w:val="44"/>
        </w:rPr>
        <w:t>土地</w:t>
      </w:r>
      <w:r w:rsidR="00CE0456" w:rsidRPr="00C2730B">
        <w:rPr>
          <w:rFonts w:ascii="標楷體" w:eastAsia="標楷體" w:hAnsi="標楷體" w:hint="eastAsia"/>
          <w:sz w:val="40"/>
          <w:szCs w:val="44"/>
        </w:rPr>
        <w:t>租金權利金復舊金注意事項</w:t>
      </w:r>
      <w:r w:rsidR="008B7988" w:rsidRPr="00C2730B">
        <w:rPr>
          <w:rFonts w:ascii="標楷體" w:eastAsia="標楷體" w:hAnsi="標楷體" w:hint="eastAsia"/>
          <w:sz w:val="40"/>
          <w:szCs w:val="44"/>
        </w:rPr>
        <w:t>修正草案對照表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84"/>
        <w:gridCol w:w="2985"/>
        <w:gridCol w:w="2983"/>
      </w:tblGrid>
      <w:tr w:rsidR="00910D06" w:rsidRPr="00F80F04" w14:paraId="6C6FC022" w14:textId="77777777" w:rsidTr="009C7250">
        <w:trPr>
          <w:trHeight w:val="322"/>
        </w:trPr>
        <w:tc>
          <w:tcPr>
            <w:tcW w:w="3024" w:type="dxa"/>
          </w:tcPr>
          <w:p w14:paraId="2B256FD5" w14:textId="77777777" w:rsidR="00910D06" w:rsidRPr="00102F74" w:rsidRDefault="00C2730B" w:rsidP="00F80F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修正規定</w:t>
            </w:r>
          </w:p>
        </w:tc>
        <w:tc>
          <w:tcPr>
            <w:tcW w:w="3024" w:type="dxa"/>
          </w:tcPr>
          <w:p w14:paraId="564011D9" w14:textId="77777777" w:rsidR="00910D06" w:rsidRPr="00102F74" w:rsidRDefault="00C2730B" w:rsidP="00F80F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現行規定</w:t>
            </w:r>
          </w:p>
        </w:tc>
        <w:tc>
          <w:tcPr>
            <w:tcW w:w="3024" w:type="dxa"/>
          </w:tcPr>
          <w:p w14:paraId="72F99901" w14:textId="77777777" w:rsidR="00910D06" w:rsidRPr="00102F74" w:rsidRDefault="00C2730B" w:rsidP="00F80F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352B0B" w:rsidRPr="00F80F04" w14:paraId="09E281C3" w14:textId="77777777" w:rsidTr="009C7250">
        <w:trPr>
          <w:trHeight w:val="700"/>
        </w:trPr>
        <w:tc>
          <w:tcPr>
            <w:tcW w:w="3024" w:type="dxa"/>
          </w:tcPr>
          <w:p w14:paraId="11A2D9B1" w14:textId="64E7DBF4" w:rsidR="00352B0B" w:rsidRPr="00102F74" w:rsidRDefault="00352B0B" w:rsidP="00F527C6">
            <w:pPr>
              <w:ind w:leftChars="-27" w:left="425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一、屏東縣政府(以下簡稱本府)為審核返鄉從農青年土地租金權利金復舊金，訂定本注意事項。</w:t>
            </w:r>
          </w:p>
        </w:tc>
        <w:tc>
          <w:tcPr>
            <w:tcW w:w="3024" w:type="dxa"/>
          </w:tcPr>
          <w:p w14:paraId="2F8624F5" w14:textId="11CC558F" w:rsidR="00352B0B" w:rsidRPr="00102F74" w:rsidRDefault="00352B0B" w:rsidP="00F527C6">
            <w:pPr>
              <w:ind w:leftChars="-21" w:left="440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一、屏東縣政府(以下簡稱本府)為審核返鄉從農青年土地租金權利金復舊金，訂定本注意事項。</w:t>
            </w:r>
          </w:p>
        </w:tc>
        <w:tc>
          <w:tcPr>
            <w:tcW w:w="3024" w:type="dxa"/>
          </w:tcPr>
          <w:p w14:paraId="484493AF" w14:textId="52AE6179" w:rsidR="00352B0B" w:rsidRPr="00102F74" w:rsidRDefault="00352B0B" w:rsidP="00F80F0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本點未修正。</w:t>
            </w:r>
          </w:p>
        </w:tc>
      </w:tr>
      <w:tr w:rsidR="00910D06" w:rsidRPr="00F80F04" w14:paraId="713D8279" w14:textId="77777777" w:rsidTr="009C7250">
        <w:trPr>
          <w:trHeight w:val="700"/>
        </w:trPr>
        <w:tc>
          <w:tcPr>
            <w:tcW w:w="3024" w:type="dxa"/>
          </w:tcPr>
          <w:p w14:paraId="162AD376" w14:textId="1CFFA45A" w:rsidR="00910D06" w:rsidRPr="00102F74" w:rsidRDefault="00C2730B" w:rsidP="00F527C6">
            <w:pPr>
              <w:ind w:leftChars="-27" w:left="425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二、</w:t>
            </w:r>
            <w:r w:rsidR="008038D4" w:rsidRPr="00102F74">
              <w:rPr>
                <w:rFonts w:ascii="標楷體" w:eastAsia="標楷體" w:hAnsi="標楷體" w:hint="eastAsia"/>
                <w:szCs w:val="24"/>
                <w:u w:val="single"/>
              </w:rPr>
              <w:t>土地為</w:t>
            </w:r>
            <w:r w:rsidRPr="00102F74">
              <w:rPr>
                <w:rFonts w:ascii="標楷體" w:eastAsia="標楷體" w:hAnsi="標楷體" w:hint="eastAsia"/>
                <w:szCs w:val="24"/>
              </w:rPr>
              <w:t>本府向台灣糖業股份有限公司</w:t>
            </w:r>
            <w:r w:rsidR="008038D4" w:rsidRPr="00102F74">
              <w:rPr>
                <w:rFonts w:ascii="標楷體" w:eastAsia="標楷體" w:hAnsi="標楷體" w:hint="eastAsia"/>
                <w:szCs w:val="24"/>
                <w:u w:val="single"/>
              </w:rPr>
              <w:t>（以下簡稱台糖公司）</w:t>
            </w:r>
            <w:r w:rsidRPr="00102F74">
              <w:rPr>
                <w:rFonts w:ascii="標楷體" w:eastAsia="標楷體" w:hAnsi="標楷體" w:hint="eastAsia"/>
                <w:szCs w:val="24"/>
              </w:rPr>
              <w:t>承租</w:t>
            </w:r>
            <w:r w:rsidR="008038D4" w:rsidRPr="00102F74">
              <w:rPr>
                <w:rFonts w:ascii="標楷體" w:eastAsia="標楷體" w:hAnsi="標楷體" w:hint="eastAsia"/>
                <w:szCs w:val="24"/>
                <w:u w:val="single"/>
              </w:rPr>
              <w:t>者</w:t>
            </w:r>
            <w:r w:rsidRPr="00102F74">
              <w:rPr>
                <w:rFonts w:ascii="標楷體" w:eastAsia="標楷體" w:hAnsi="標楷體" w:hint="eastAsia"/>
                <w:szCs w:val="24"/>
              </w:rPr>
              <w:t>，</w:t>
            </w:r>
            <w:r w:rsidR="008038D4" w:rsidRPr="00102F74">
              <w:rPr>
                <w:rFonts w:ascii="標楷體" w:eastAsia="標楷體" w:hAnsi="標楷體" w:hint="eastAsia"/>
                <w:szCs w:val="24"/>
                <w:u w:val="single"/>
              </w:rPr>
              <w:t>其權利金</w:t>
            </w:r>
            <w:r w:rsidR="00712D8E" w:rsidRPr="00102F74">
              <w:rPr>
                <w:rFonts w:ascii="標楷體" w:eastAsia="標楷體" w:hAnsi="標楷體" w:hint="eastAsia"/>
                <w:szCs w:val="24"/>
                <w:u w:val="single"/>
              </w:rPr>
              <w:t>收取</w:t>
            </w:r>
            <w:r w:rsidR="005A096A" w:rsidRPr="00102F74">
              <w:rPr>
                <w:rFonts w:ascii="標楷體" w:eastAsia="標楷體" w:hAnsi="標楷體" w:hint="eastAsia"/>
                <w:szCs w:val="24"/>
                <w:u w:val="single"/>
              </w:rPr>
              <w:t>，</w:t>
            </w:r>
            <w:r w:rsidRPr="00102F74">
              <w:rPr>
                <w:rFonts w:ascii="標楷體" w:eastAsia="標楷體" w:hAnsi="標楷體" w:hint="eastAsia"/>
                <w:szCs w:val="24"/>
              </w:rPr>
              <w:t>按</w:t>
            </w:r>
            <w:r w:rsidR="005A096A" w:rsidRPr="00102F74">
              <w:rPr>
                <w:rFonts w:ascii="標楷體" w:eastAsia="標楷體" w:hAnsi="標楷體" w:hint="eastAsia"/>
                <w:szCs w:val="24"/>
                <w:u w:val="single"/>
              </w:rPr>
              <w:t>本府</w:t>
            </w:r>
            <w:r w:rsidR="008038D4" w:rsidRPr="00102F74">
              <w:rPr>
                <w:rFonts w:ascii="標楷體" w:eastAsia="標楷體" w:hAnsi="標楷體" w:hint="eastAsia"/>
                <w:szCs w:val="24"/>
                <w:u w:val="single"/>
              </w:rPr>
              <w:t>與</w:t>
            </w:r>
            <w:r w:rsidR="005A096A" w:rsidRPr="00102F74">
              <w:rPr>
                <w:rFonts w:ascii="標楷體" w:eastAsia="標楷體" w:hAnsi="標楷體" w:hint="eastAsia"/>
                <w:szCs w:val="24"/>
                <w:u w:val="single"/>
              </w:rPr>
              <w:t>台糖</w:t>
            </w:r>
            <w:r w:rsidRPr="00102F74">
              <w:rPr>
                <w:rFonts w:ascii="標楷體" w:eastAsia="標楷體" w:hAnsi="標楷體" w:hint="eastAsia"/>
                <w:szCs w:val="24"/>
              </w:rPr>
              <w:t>公司租賃契約書租金金額計算。</w:t>
            </w:r>
          </w:p>
        </w:tc>
        <w:tc>
          <w:tcPr>
            <w:tcW w:w="3024" w:type="dxa"/>
          </w:tcPr>
          <w:p w14:paraId="03FF1A21" w14:textId="77777777" w:rsidR="00910D06" w:rsidRPr="00102F74" w:rsidRDefault="00C2730B" w:rsidP="00F527C6">
            <w:pPr>
              <w:ind w:leftChars="-21" w:left="440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二、本府向台灣糖業股份有限公司承租土地，按該公司租賃契約書租金金額計算。</w:t>
            </w:r>
          </w:p>
        </w:tc>
        <w:tc>
          <w:tcPr>
            <w:tcW w:w="3024" w:type="dxa"/>
          </w:tcPr>
          <w:p w14:paraId="6C9A29AB" w14:textId="77777777" w:rsidR="00910D06" w:rsidRPr="00102F74" w:rsidRDefault="00AC579A" w:rsidP="00F80F0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新增「權利金」俾利與第三點「復舊金」區分，台糖向本府收取租金係對應本府向進駐農友收取權利金。</w:t>
            </w:r>
          </w:p>
        </w:tc>
      </w:tr>
      <w:tr w:rsidR="00910D06" w:rsidRPr="00F80F04" w14:paraId="65C54E87" w14:textId="77777777" w:rsidTr="009C7250">
        <w:trPr>
          <w:trHeight w:val="645"/>
        </w:trPr>
        <w:tc>
          <w:tcPr>
            <w:tcW w:w="3024" w:type="dxa"/>
          </w:tcPr>
          <w:p w14:paraId="5FC357D0" w14:textId="45667A96" w:rsidR="00910D06" w:rsidRPr="00102F74" w:rsidRDefault="00E2534E" w:rsidP="00F527C6">
            <w:pPr>
              <w:ind w:leftChars="-27" w:left="425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三、</w:t>
            </w:r>
            <w:r w:rsidR="005A096A" w:rsidRPr="00102F74">
              <w:rPr>
                <w:rFonts w:ascii="標楷體" w:eastAsia="標楷體" w:hAnsi="標楷體" w:hint="eastAsia"/>
                <w:szCs w:val="24"/>
                <w:u w:val="single"/>
              </w:rPr>
              <w:t>前點土地</w:t>
            </w:r>
            <w:r w:rsidRPr="00102F74">
              <w:rPr>
                <w:rFonts w:ascii="標楷體" w:eastAsia="標楷體" w:hAnsi="標楷體" w:hint="eastAsia"/>
                <w:szCs w:val="24"/>
              </w:rPr>
              <w:t>，</w:t>
            </w:r>
            <w:r w:rsidR="008038D4" w:rsidRPr="00102F74">
              <w:rPr>
                <w:rFonts w:ascii="標楷體" w:eastAsia="標楷體" w:hAnsi="標楷體" w:hint="eastAsia"/>
                <w:szCs w:val="24"/>
                <w:u w:val="single"/>
              </w:rPr>
              <w:t>其復舊金</w:t>
            </w:r>
            <w:r w:rsidR="005A096A" w:rsidRPr="00102F74">
              <w:rPr>
                <w:rFonts w:ascii="標楷體" w:eastAsia="標楷體" w:hAnsi="標楷體" w:hint="eastAsia"/>
                <w:szCs w:val="24"/>
                <w:u w:val="single"/>
              </w:rPr>
              <w:t>收取，</w:t>
            </w:r>
            <w:r w:rsidRPr="00102F74">
              <w:rPr>
                <w:rFonts w:ascii="標楷體" w:eastAsia="標楷體" w:hAnsi="標楷體" w:hint="eastAsia"/>
                <w:szCs w:val="24"/>
              </w:rPr>
              <w:t>按</w:t>
            </w:r>
            <w:r w:rsidR="005A096A" w:rsidRPr="00102F74">
              <w:rPr>
                <w:rFonts w:ascii="標楷體" w:eastAsia="標楷體" w:hAnsi="標楷體" w:hint="eastAsia"/>
                <w:szCs w:val="24"/>
                <w:u w:val="single"/>
              </w:rPr>
              <w:t>本府</w:t>
            </w:r>
            <w:r w:rsidR="008038D4" w:rsidRPr="00102F74">
              <w:rPr>
                <w:rFonts w:ascii="標楷體" w:eastAsia="標楷體" w:hAnsi="標楷體" w:hint="eastAsia"/>
                <w:szCs w:val="24"/>
                <w:u w:val="single"/>
              </w:rPr>
              <w:t>與</w:t>
            </w:r>
            <w:r w:rsidR="005A096A" w:rsidRPr="00102F74">
              <w:rPr>
                <w:rFonts w:ascii="標楷體" w:eastAsia="標楷體" w:hAnsi="標楷體" w:hint="eastAsia"/>
                <w:szCs w:val="24"/>
                <w:u w:val="single"/>
              </w:rPr>
              <w:t>台糖</w:t>
            </w:r>
            <w:r w:rsidRPr="00102F74">
              <w:rPr>
                <w:rFonts w:ascii="標楷體" w:eastAsia="標楷體" w:hAnsi="標楷體" w:hint="eastAsia"/>
                <w:szCs w:val="24"/>
              </w:rPr>
              <w:t>公司租賃契約書</w:t>
            </w:r>
            <w:r w:rsidRPr="00102F74">
              <w:rPr>
                <w:rFonts w:ascii="標楷體" w:eastAsia="標楷體" w:hAnsi="標楷體" w:hint="eastAsia"/>
                <w:szCs w:val="24"/>
                <w:u w:val="single"/>
              </w:rPr>
              <w:t>耕地處理費</w:t>
            </w:r>
            <w:r w:rsidRPr="00102F74">
              <w:rPr>
                <w:rFonts w:ascii="標楷體" w:eastAsia="標楷體" w:hAnsi="標楷體" w:hint="eastAsia"/>
                <w:szCs w:val="24"/>
              </w:rPr>
              <w:t>金額計算。</w:t>
            </w:r>
          </w:p>
        </w:tc>
        <w:tc>
          <w:tcPr>
            <w:tcW w:w="3024" w:type="dxa"/>
          </w:tcPr>
          <w:p w14:paraId="640CAA24" w14:textId="77777777" w:rsidR="00910D06" w:rsidRPr="00102F74" w:rsidRDefault="00E2534E" w:rsidP="00F527C6">
            <w:pPr>
              <w:ind w:leftChars="-21" w:left="440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三、本府向台灣糖業股份有限公司承租土地，</w:t>
            </w:r>
            <w:r w:rsidRPr="00102F74">
              <w:rPr>
                <w:rFonts w:ascii="標楷體" w:eastAsia="標楷體" w:hAnsi="標楷體" w:hint="eastAsia"/>
                <w:szCs w:val="24"/>
                <w:u w:val="single"/>
              </w:rPr>
              <w:t>以合作經營簽訂契約書</w:t>
            </w:r>
            <w:r w:rsidRPr="00102F74">
              <w:rPr>
                <w:rFonts w:ascii="標楷體" w:eastAsia="標楷體" w:hAnsi="標楷體" w:hint="eastAsia"/>
                <w:szCs w:val="24"/>
              </w:rPr>
              <w:t>，按該公司租賃契約書租金金額計算。</w:t>
            </w:r>
          </w:p>
        </w:tc>
        <w:tc>
          <w:tcPr>
            <w:tcW w:w="3024" w:type="dxa"/>
          </w:tcPr>
          <w:p w14:paraId="70C2D501" w14:textId="77777777" w:rsidR="008038D4" w:rsidRPr="00102F74" w:rsidRDefault="008038D4" w:rsidP="008038D4">
            <w:pPr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一、</w:t>
            </w:r>
            <w:r w:rsidR="00F2538A" w:rsidRPr="00102F74">
              <w:rPr>
                <w:rFonts w:ascii="標楷體" w:eastAsia="標楷體" w:hAnsi="標楷體" w:hint="eastAsia"/>
                <w:szCs w:val="24"/>
              </w:rPr>
              <w:t>原第二點及第三點內容近乎相同，為區分台糖土地及縣有土地復舊金收取方式，故</w:t>
            </w:r>
            <w:r w:rsidRPr="00102F74">
              <w:rPr>
                <w:rFonts w:ascii="標楷體" w:eastAsia="標楷體" w:hAnsi="標楷體" w:hint="eastAsia"/>
                <w:szCs w:val="24"/>
              </w:rPr>
              <w:t>修正</w:t>
            </w:r>
            <w:r w:rsidR="00F2538A" w:rsidRPr="00102F74">
              <w:rPr>
                <w:rFonts w:ascii="標楷體" w:eastAsia="標楷體" w:hAnsi="標楷體" w:hint="eastAsia"/>
                <w:szCs w:val="24"/>
              </w:rPr>
              <w:t>本點。</w:t>
            </w:r>
          </w:p>
          <w:p w14:paraId="54E81047" w14:textId="43D3824D" w:rsidR="00910D06" w:rsidRPr="00102F74" w:rsidRDefault="008038D4" w:rsidP="008038D4">
            <w:pPr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二、</w:t>
            </w:r>
            <w:r w:rsidR="00F2538A" w:rsidRPr="00102F74">
              <w:rPr>
                <w:rFonts w:ascii="標楷體" w:eastAsia="標楷體" w:hAnsi="標楷體" w:hint="eastAsia"/>
                <w:szCs w:val="24"/>
              </w:rPr>
              <w:t>台糖向本府收取耕地處理費係對應本府向進駐農友收取復舊金。</w:t>
            </w:r>
          </w:p>
        </w:tc>
      </w:tr>
      <w:tr w:rsidR="00910D06" w:rsidRPr="00F80F04" w14:paraId="1D6EF663" w14:textId="77777777" w:rsidTr="009C7250">
        <w:trPr>
          <w:trHeight w:val="748"/>
        </w:trPr>
        <w:tc>
          <w:tcPr>
            <w:tcW w:w="3024" w:type="dxa"/>
          </w:tcPr>
          <w:p w14:paraId="5D628FF8" w14:textId="0713E021" w:rsidR="00910D06" w:rsidRPr="00102F74" w:rsidRDefault="00E2534E" w:rsidP="00F527C6">
            <w:pPr>
              <w:ind w:leftChars="-27" w:left="425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四、本府經管之縣有土地，</w:t>
            </w:r>
            <w:r w:rsidR="00A14F94" w:rsidRPr="00102F74">
              <w:rPr>
                <w:rFonts w:ascii="標楷體" w:eastAsia="標楷體" w:hAnsi="標楷體" w:hint="eastAsia"/>
                <w:szCs w:val="24"/>
                <w:u w:val="single"/>
              </w:rPr>
              <w:t>其租金之計算準用</w:t>
            </w:r>
            <w:r w:rsidRPr="00102F74">
              <w:rPr>
                <w:rFonts w:ascii="標楷體" w:eastAsia="標楷體" w:hAnsi="標楷體" w:hint="eastAsia"/>
                <w:szCs w:val="24"/>
                <w:u w:val="single"/>
              </w:rPr>
              <w:t>屏東縣縣有耕地放租作業注意事項第</w:t>
            </w:r>
            <w:r w:rsidR="00DA72FB" w:rsidRPr="00102F74">
              <w:rPr>
                <w:rFonts w:ascii="標楷體" w:eastAsia="標楷體" w:hAnsi="標楷體" w:hint="eastAsia"/>
                <w:szCs w:val="24"/>
                <w:u w:val="single"/>
              </w:rPr>
              <w:t>六十</w:t>
            </w:r>
            <w:r w:rsidRPr="00102F74">
              <w:rPr>
                <w:rFonts w:ascii="標楷體" w:eastAsia="標楷體" w:hAnsi="標楷體" w:hint="eastAsia"/>
                <w:szCs w:val="24"/>
                <w:u w:val="single"/>
              </w:rPr>
              <w:t>點</w:t>
            </w:r>
            <w:r w:rsidR="00DA72FB" w:rsidRPr="00102F74">
              <w:rPr>
                <w:rFonts w:ascii="標楷體" w:eastAsia="標楷體" w:hAnsi="標楷體" w:hint="eastAsia"/>
                <w:szCs w:val="24"/>
                <w:u w:val="single"/>
              </w:rPr>
              <w:t>第一項</w:t>
            </w:r>
            <w:r w:rsidRPr="00102F74">
              <w:rPr>
                <w:rFonts w:ascii="標楷體" w:eastAsia="標楷體" w:hAnsi="標楷體" w:hint="eastAsia"/>
                <w:szCs w:val="24"/>
                <w:u w:val="single"/>
              </w:rPr>
              <w:t>第</w:t>
            </w:r>
            <w:r w:rsidR="00DA72FB" w:rsidRPr="00102F74">
              <w:rPr>
                <w:rFonts w:ascii="標楷體" w:eastAsia="標楷體" w:hAnsi="標楷體" w:hint="eastAsia"/>
                <w:szCs w:val="24"/>
                <w:u w:val="single"/>
              </w:rPr>
              <w:t>二</w:t>
            </w:r>
            <w:r w:rsidRPr="00102F74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="009B7754" w:rsidRPr="00102F74">
              <w:rPr>
                <w:rFonts w:ascii="標楷體" w:eastAsia="標楷體" w:hAnsi="標楷體" w:hint="eastAsia"/>
                <w:szCs w:val="24"/>
                <w:u w:val="single"/>
              </w:rPr>
              <w:t>規定</w:t>
            </w:r>
            <w:r w:rsidR="005572BF" w:rsidRPr="00102F74">
              <w:rPr>
                <w:rFonts w:ascii="標楷體" w:eastAsia="標楷體" w:hAnsi="標楷體" w:hint="eastAsia"/>
                <w:szCs w:val="24"/>
                <w:u w:val="single"/>
              </w:rPr>
              <w:t>辦理</w:t>
            </w:r>
            <w:r w:rsidRPr="00102F7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024" w:type="dxa"/>
          </w:tcPr>
          <w:p w14:paraId="293A11C2" w14:textId="77777777" w:rsidR="00910D06" w:rsidRPr="00102F74" w:rsidRDefault="00170B07" w:rsidP="00F527C6">
            <w:pPr>
              <w:ind w:leftChars="-21" w:left="440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四、本府經管之縣有土地，按承租（或合作經營）面積乘</w:t>
            </w:r>
            <w:r w:rsidR="00E2534E" w:rsidRPr="00102F74">
              <w:rPr>
                <w:rFonts w:ascii="標楷體" w:eastAsia="標楷體" w:hAnsi="標楷體" w:hint="eastAsia"/>
                <w:szCs w:val="24"/>
              </w:rPr>
              <w:t>當期土地申報地價年息百分之五乘百分之三十計算租金或權利金。</w:t>
            </w:r>
          </w:p>
        </w:tc>
        <w:tc>
          <w:tcPr>
            <w:tcW w:w="3024" w:type="dxa"/>
          </w:tcPr>
          <w:p w14:paraId="33C81233" w14:textId="3AFC2E23" w:rsidR="00910D06" w:rsidRPr="00102F74" w:rsidRDefault="00170B07" w:rsidP="00F80F0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因近年土地申報地價不斷上漲，</w:t>
            </w:r>
            <w:r w:rsidR="009C7250" w:rsidRPr="00102F74">
              <w:rPr>
                <w:rFonts w:ascii="標楷體" w:eastAsia="標楷體" w:hAnsi="標楷體" w:hint="eastAsia"/>
                <w:szCs w:val="24"/>
              </w:rPr>
              <w:t>以原第四點計算</w:t>
            </w:r>
            <w:r w:rsidRPr="00102F74">
              <w:rPr>
                <w:rFonts w:ascii="標楷體" w:eastAsia="標楷體" w:hAnsi="標楷體" w:hint="eastAsia"/>
                <w:szCs w:val="24"/>
              </w:rPr>
              <w:t>租金</w:t>
            </w:r>
            <w:r w:rsidR="009C7250" w:rsidRPr="00102F74">
              <w:rPr>
                <w:rFonts w:ascii="標楷體" w:eastAsia="標楷體" w:hAnsi="標楷體" w:hint="eastAsia"/>
                <w:szCs w:val="24"/>
              </w:rPr>
              <w:t>已導致無人有意願承租，為提升本縣縣民承租意願，並使本注意事項切合時宜，業經本府</w:t>
            </w:r>
            <w:r w:rsidR="000676EB" w:rsidRPr="00102F74">
              <w:rPr>
                <w:rFonts w:ascii="標楷體" w:eastAsia="標楷體" w:hAnsi="標楷體" w:hint="eastAsia"/>
                <w:szCs w:val="24"/>
              </w:rPr>
              <w:t>一百十二</w:t>
            </w:r>
            <w:r w:rsidR="009C7250" w:rsidRPr="00102F74">
              <w:rPr>
                <w:rFonts w:ascii="標楷體" w:eastAsia="標楷體" w:hAnsi="標楷體" w:hint="eastAsia"/>
                <w:szCs w:val="24"/>
              </w:rPr>
              <w:t>年</w:t>
            </w:r>
            <w:r w:rsidR="000676EB" w:rsidRPr="00102F74">
              <w:rPr>
                <w:rFonts w:ascii="標楷體" w:eastAsia="標楷體" w:hAnsi="標楷體" w:hint="eastAsia"/>
                <w:szCs w:val="24"/>
              </w:rPr>
              <w:t>二</w:t>
            </w:r>
            <w:r w:rsidR="009C7250" w:rsidRPr="00102F74">
              <w:rPr>
                <w:rFonts w:ascii="標楷體" w:eastAsia="標楷體" w:hAnsi="標楷體" w:hint="eastAsia"/>
                <w:szCs w:val="24"/>
              </w:rPr>
              <w:t>月</w:t>
            </w:r>
            <w:r w:rsidR="000676EB" w:rsidRPr="00102F74">
              <w:rPr>
                <w:rFonts w:ascii="標楷體" w:eastAsia="標楷體" w:hAnsi="標楷體" w:hint="eastAsia"/>
                <w:szCs w:val="24"/>
              </w:rPr>
              <w:t>二十二</w:t>
            </w:r>
            <w:r w:rsidR="009C7250" w:rsidRPr="00102F74">
              <w:rPr>
                <w:rFonts w:ascii="標楷體" w:eastAsia="標楷體" w:hAnsi="標楷體" w:hint="eastAsia"/>
                <w:szCs w:val="24"/>
              </w:rPr>
              <w:t>日第</w:t>
            </w:r>
            <w:r w:rsidR="000676EB" w:rsidRPr="00102F74">
              <w:rPr>
                <w:rFonts w:ascii="標楷體" w:eastAsia="標楷體" w:hAnsi="標楷體" w:hint="eastAsia"/>
                <w:szCs w:val="24"/>
              </w:rPr>
              <w:t>一一二</w:t>
            </w:r>
            <w:r w:rsidR="000676EB" w:rsidRPr="00102F74">
              <w:rPr>
                <w:rFonts w:ascii="標楷體" w:eastAsia="標楷體" w:hAnsi="標楷體" w:hint="eastAsia"/>
              </w:rPr>
              <w:t>０</w:t>
            </w:r>
            <w:r w:rsidR="000676EB" w:rsidRPr="00102F74">
              <w:rPr>
                <w:rFonts w:ascii="標楷體" w:eastAsia="標楷體" w:hAnsi="標楷體" w:hint="eastAsia"/>
                <w:szCs w:val="24"/>
              </w:rPr>
              <w:t>三九五</w:t>
            </w:r>
            <w:r w:rsidR="000676EB" w:rsidRPr="00102F74">
              <w:rPr>
                <w:rFonts w:ascii="標楷體" w:eastAsia="標楷體" w:hAnsi="標楷體" w:hint="eastAsia"/>
              </w:rPr>
              <w:t>０</w:t>
            </w:r>
            <w:r w:rsidR="000676EB" w:rsidRPr="00102F74">
              <w:rPr>
                <w:rFonts w:ascii="標楷體" w:eastAsia="標楷體" w:hAnsi="標楷體" w:hint="eastAsia"/>
                <w:szCs w:val="24"/>
              </w:rPr>
              <w:t>三</w:t>
            </w:r>
            <w:r w:rsidR="000676EB" w:rsidRPr="00102F74">
              <w:rPr>
                <w:rFonts w:ascii="標楷體" w:eastAsia="標楷體" w:hAnsi="標楷體" w:hint="eastAsia"/>
              </w:rPr>
              <w:t>００</w:t>
            </w:r>
            <w:r w:rsidR="009C7250" w:rsidRPr="00102F74">
              <w:rPr>
                <w:rFonts w:ascii="標楷體" w:eastAsia="標楷體" w:hAnsi="標楷體" w:hint="eastAsia"/>
                <w:szCs w:val="24"/>
              </w:rPr>
              <w:t>號簽准改依</w:t>
            </w:r>
            <w:r w:rsidR="009C7250" w:rsidRPr="00102F74">
              <w:rPr>
                <w:rFonts w:ascii="標楷體" w:eastAsia="標楷體" w:hAnsi="標楷體" w:hint="eastAsia"/>
                <w:szCs w:val="24"/>
                <w:u w:val="single"/>
              </w:rPr>
              <w:t>屏東縣縣有耕地放租作業注意事項第</w:t>
            </w:r>
            <w:r w:rsidR="000676EB" w:rsidRPr="00102F74">
              <w:rPr>
                <w:rFonts w:ascii="標楷體" w:eastAsia="標楷體" w:hAnsi="標楷體" w:hint="eastAsia"/>
                <w:szCs w:val="24"/>
                <w:u w:val="single"/>
              </w:rPr>
              <w:t>六十</w:t>
            </w:r>
            <w:r w:rsidR="009C7250" w:rsidRPr="00102F74">
              <w:rPr>
                <w:rFonts w:ascii="標楷體" w:eastAsia="標楷體" w:hAnsi="標楷體" w:hint="eastAsia"/>
                <w:szCs w:val="24"/>
                <w:u w:val="single"/>
              </w:rPr>
              <w:t>點</w:t>
            </w:r>
            <w:r w:rsidR="000676EB" w:rsidRPr="00102F74">
              <w:rPr>
                <w:rFonts w:ascii="標楷體" w:eastAsia="標楷體" w:hAnsi="標楷體" w:hint="eastAsia"/>
                <w:szCs w:val="24"/>
                <w:u w:val="single"/>
              </w:rPr>
              <w:t>第一項</w:t>
            </w:r>
            <w:r w:rsidR="009C7250" w:rsidRPr="00102F74">
              <w:rPr>
                <w:rFonts w:ascii="標楷體" w:eastAsia="標楷體" w:hAnsi="標楷體" w:hint="eastAsia"/>
                <w:szCs w:val="24"/>
                <w:u w:val="single"/>
              </w:rPr>
              <w:t>第</w:t>
            </w:r>
            <w:r w:rsidR="000676EB" w:rsidRPr="00102F74">
              <w:rPr>
                <w:rFonts w:ascii="標楷體" w:eastAsia="標楷體" w:hAnsi="標楷體" w:hint="eastAsia"/>
                <w:szCs w:val="24"/>
                <w:u w:val="single"/>
              </w:rPr>
              <w:t>二</w:t>
            </w:r>
            <w:r w:rsidR="009C7250" w:rsidRPr="00102F74">
              <w:rPr>
                <w:rFonts w:ascii="標楷體" w:eastAsia="標楷體" w:hAnsi="標楷體" w:hint="eastAsia"/>
                <w:szCs w:val="24"/>
                <w:u w:val="single"/>
              </w:rPr>
              <w:t>款計算租金。</w:t>
            </w:r>
          </w:p>
        </w:tc>
      </w:tr>
      <w:tr w:rsidR="00910D06" w:rsidRPr="00F80F04" w14:paraId="284E0CE2" w14:textId="77777777" w:rsidTr="009C7250">
        <w:trPr>
          <w:trHeight w:val="702"/>
        </w:trPr>
        <w:tc>
          <w:tcPr>
            <w:tcW w:w="3024" w:type="dxa"/>
          </w:tcPr>
          <w:p w14:paraId="5B852B7C" w14:textId="7B7FD5E8" w:rsidR="00ED0A34" w:rsidRPr="00102F74" w:rsidRDefault="00E2534E" w:rsidP="00F527C6">
            <w:pPr>
              <w:ind w:leftChars="-27" w:left="425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五、</w:t>
            </w:r>
            <w:r w:rsidR="005572BF" w:rsidRPr="00102F74">
              <w:rPr>
                <w:rFonts w:ascii="標楷體" w:eastAsia="標楷體" w:hAnsi="標楷體" w:hint="eastAsia"/>
                <w:szCs w:val="24"/>
                <w:u w:val="single"/>
              </w:rPr>
              <w:t>前點</w:t>
            </w:r>
            <w:r w:rsidRPr="00102F74">
              <w:rPr>
                <w:rFonts w:ascii="標楷體" w:eastAsia="標楷體" w:hAnsi="標楷體" w:hint="eastAsia"/>
                <w:szCs w:val="24"/>
                <w:u w:val="single"/>
              </w:rPr>
              <w:t>土地</w:t>
            </w:r>
            <w:r w:rsidRPr="00102F74">
              <w:rPr>
                <w:rFonts w:ascii="標楷體" w:eastAsia="標楷體" w:hAnsi="標楷體" w:hint="eastAsia"/>
                <w:szCs w:val="24"/>
              </w:rPr>
              <w:t>，回復土地原狀之復舊金，</w:t>
            </w:r>
            <w:r w:rsidRPr="00102F74">
              <w:rPr>
                <w:rFonts w:ascii="標楷體" w:eastAsia="標楷體" w:hAnsi="標楷體" w:hint="eastAsia"/>
                <w:szCs w:val="24"/>
                <w:u w:val="single"/>
              </w:rPr>
              <w:t>每承租區塊</w:t>
            </w:r>
            <w:r w:rsidRPr="00102F74">
              <w:rPr>
                <w:rFonts w:ascii="標楷體" w:eastAsia="標楷體" w:hAnsi="標楷體" w:hint="eastAsia"/>
                <w:szCs w:val="24"/>
              </w:rPr>
              <w:t>以新</w:t>
            </w:r>
            <w:r w:rsidR="000676EB" w:rsidRPr="00102F74">
              <w:rPr>
                <w:rFonts w:ascii="標楷體" w:eastAsia="標楷體" w:hAnsi="標楷體" w:hint="eastAsia"/>
                <w:szCs w:val="24"/>
                <w:u w:val="single"/>
              </w:rPr>
              <w:t>臺</w:t>
            </w:r>
            <w:r w:rsidRPr="00102F74">
              <w:rPr>
                <w:rFonts w:ascii="標楷體" w:eastAsia="標楷體" w:hAnsi="標楷體" w:hint="eastAsia"/>
                <w:szCs w:val="24"/>
              </w:rPr>
              <w:t>幣五千元計算。</w:t>
            </w:r>
          </w:p>
          <w:p w14:paraId="5353AD43" w14:textId="0A132EF5" w:rsidR="005572BF" w:rsidRPr="00102F74" w:rsidRDefault="005572BF" w:rsidP="00F527C6">
            <w:pPr>
              <w:ind w:leftChars="-27" w:left="425" w:hangingChars="204" w:hanging="49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lastRenderedPageBreak/>
              <w:t xml:space="preserve">    </w:t>
            </w:r>
            <w:r w:rsidRPr="00102F74">
              <w:rPr>
                <w:rFonts w:ascii="標楷體" w:eastAsia="標楷體" w:hAnsi="標楷體" w:hint="eastAsia"/>
                <w:szCs w:val="24"/>
                <w:u w:val="single"/>
              </w:rPr>
              <w:t>前項承租區塊之範圍，由本府定之。</w:t>
            </w:r>
          </w:p>
          <w:p w14:paraId="44EEEEDC" w14:textId="449B91A0" w:rsidR="00910D06" w:rsidRPr="00102F74" w:rsidRDefault="00ED0A34" w:rsidP="00F527C6">
            <w:pPr>
              <w:ind w:leftChars="-27" w:left="425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572BF" w:rsidRPr="00102F74">
              <w:rPr>
                <w:rFonts w:ascii="標楷體" w:eastAsia="標楷體" w:hAnsi="標楷體" w:hint="eastAsia"/>
                <w:szCs w:val="24"/>
                <w:u w:val="single"/>
              </w:rPr>
              <w:t>第一</w:t>
            </w:r>
            <w:r w:rsidRPr="00102F74">
              <w:rPr>
                <w:rFonts w:ascii="標楷體" w:eastAsia="標楷體" w:hAnsi="標楷體" w:hint="eastAsia"/>
                <w:szCs w:val="24"/>
                <w:u w:val="single"/>
              </w:rPr>
              <w:t>項復舊金如在</w:t>
            </w:r>
            <w:r w:rsidR="00E2534E" w:rsidRPr="00102F74">
              <w:rPr>
                <w:rFonts w:ascii="標楷體" w:eastAsia="標楷體" w:hAnsi="標楷體" w:hint="eastAsia"/>
                <w:szCs w:val="24"/>
              </w:rPr>
              <w:t>租約屆期或返還土地</w:t>
            </w:r>
            <w:r w:rsidR="005572BF" w:rsidRPr="00102F74">
              <w:rPr>
                <w:rFonts w:ascii="標楷體" w:eastAsia="標楷體" w:hAnsi="標楷體" w:hint="eastAsia"/>
                <w:szCs w:val="24"/>
                <w:u w:val="single"/>
              </w:rPr>
              <w:t>時</w:t>
            </w:r>
            <w:r w:rsidR="00E2534E" w:rsidRPr="00102F74">
              <w:rPr>
                <w:rFonts w:ascii="標楷體" w:eastAsia="標楷體" w:hAnsi="標楷體" w:hint="eastAsia"/>
                <w:szCs w:val="24"/>
              </w:rPr>
              <w:t>，無需回復土地原狀</w:t>
            </w:r>
            <w:r w:rsidR="005572BF" w:rsidRPr="00102F74">
              <w:rPr>
                <w:rFonts w:ascii="標楷體" w:eastAsia="標楷體" w:hAnsi="標楷體" w:hint="eastAsia"/>
                <w:szCs w:val="24"/>
                <w:u w:val="single"/>
              </w:rPr>
              <w:t>或已回復原狀</w:t>
            </w:r>
            <w:r w:rsidR="00E2534E" w:rsidRPr="00102F74">
              <w:rPr>
                <w:rFonts w:ascii="標楷體" w:eastAsia="標楷體" w:hAnsi="標楷體" w:hint="eastAsia"/>
                <w:szCs w:val="24"/>
              </w:rPr>
              <w:t>者，無息退還。</w:t>
            </w:r>
          </w:p>
        </w:tc>
        <w:tc>
          <w:tcPr>
            <w:tcW w:w="3024" w:type="dxa"/>
          </w:tcPr>
          <w:p w14:paraId="1D4E3EEC" w14:textId="77777777" w:rsidR="00910D06" w:rsidRPr="00102F74" w:rsidRDefault="00E2534E" w:rsidP="00F527C6">
            <w:pPr>
              <w:ind w:leftChars="-21" w:left="440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lastRenderedPageBreak/>
              <w:t>五、回復土地原狀之復舊金，以新台幣五千元計算。租約屆期或返還土地，無需回復土地原狀</w:t>
            </w:r>
            <w:r w:rsidRPr="00102F74">
              <w:rPr>
                <w:rFonts w:ascii="標楷體" w:eastAsia="標楷體" w:hAnsi="標楷體" w:hint="eastAsia"/>
                <w:szCs w:val="24"/>
              </w:rPr>
              <w:lastRenderedPageBreak/>
              <w:t>者，無息退還。</w:t>
            </w:r>
          </w:p>
        </w:tc>
        <w:tc>
          <w:tcPr>
            <w:tcW w:w="3024" w:type="dxa"/>
          </w:tcPr>
          <w:p w14:paraId="5DD0A4C5" w14:textId="66241889" w:rsidR="00910D06" w:rsidRPr="00102F74" w:rsidRDefault="009C7250" w:rsidP="00F80F0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lastRenderedPageBreak/>
              <w:t>原第五點並未敘明係台糖土地或縣有土地，且</w:t>
            </w:r>
            <w:r w:rsidR="00F80F04" w:rsidRPr="00102F74">
              <w:rPr>
                <w:rFonts w:ascii="標楷體" w:eastAsia="標楷體" w:hAnsi="標楷體" w:hint="eastAsia"/>
                <w:szCs w:val="24"/>
              </w:rPr>
              <w:t>「</w:t>
            </w:r>
            <w:r w:rsidRPr="00102F74">
              <w:rPr>
                <w:rFonts w:ascii="標楷體" w:eastAsia="標楷體" w:hAnsi="標楷體" w:hint="eastAsia"/>
                <w:szCs w:val="24"/>
              </w:rPr>
              <w:t>新台幣五千元計算</w:t>
            </w:r>
            <w:r w:rsidR="00F80F04" w:rsidRPr="00102F74">
              <w:rPr>
                <w:rFonts w:ascii="標楷體" w:eastAsia="標楷體" w:hAnsi="標楷體" w:hint="eastAsia"/>
                <w:szCs w:val="24"/>
              </w:rPr>
              <w:t>」</w:t>
            </w:r>
            <w:r w:rsidRPr="00102F74">
              <w:rPr>
                <w:rFonts w:ascii="標楷體" w:eastAsia="標楷體" w:hAnsi="標楷體" w:hint="eastAsia"/>
                <w:szCs w:val="24"/>
              </w:rPr>
              <w:t>亦未敘明計收單位係依承租人或承租</w:t>
            </w:r>
            <w:r w:rsidRPr="00102F74">
              <w:rPr>
                <w:rFonts w:ascii="標楷體" w:eastAsia="標楷體" w:hAnsi="標楷體" w:hint="eastAsia"/>
                <w:szCs w:val="24"/>
              </w:rPr>
              <w:lastRenderedPageBreak/>
              <w:t>面積大小或區塊數量</w:t>
            </w:r>
            <w:r w:rsidR="00F80F04" w:rsidRPr="00102F74">
              <w:rPr>
                <w:rFonts w:ascii="標楷體" w:eastAsia="標楷體" w:hAnsi="標楷體" w:hint="eastAsia"/>
                <w:szCs w:val="24"/>
              </w:rPr>
              <w:t>，為使本注意事項切合時宜，業經本府</w:t>
            </w:r>
            <w:r w:rsidR="000676EB" w:rsidRPr="00102F74">
              <w:rPr>
                <w:rFonts w:ascii="標楷體" w:eastAsia="標楷體" w:hAnsi="標楷體" w:hint="eastAsia"/>
                <w:szCs w:val="24"/>
              </w:rPr>
              <w:t>一百十二年二月二十二日第一一二</w:t>
            </w:r>
            <w:r w:rsidR="000676EB" w:rsidRPr="00102F74">
              <w:rPr>
                <w:rFonts w:ascii="標楷體" w:eastAsia="標楷體" w:hAnsi="標楷體" w:hint="eastAsia"/>
              </w:rPr>
              <w:t>０</w:t>
            </w:r>
            <w:r w:rsidR="000676EB" w:rsidRPr="00102F74">
              <w:rPr>
                <w:rFonts w:ascii="標楷體" w:eastAsia="標楷體" w:hAnsi="標楷體" w:hint="eastAsia"/>
                <w:szCs w:val="24"/>
              </w:rPr>
              <w:t>三九五</w:t>
            </w:r>
            <w:r w:rsidR="000676EB" w:rsidRPr="00102F74">
              <w:rPr>
                <w:rFonts w:ascii="標楷體" w:eastAsia="標楷體" w:hAnsi="標楷體" w:hint="eastAsia"/>
              </w:rPr>
              <w:t>０</w:t>
            </w:r>
            <w:r w:rsidR="000676EB" w:rsidRPr="00102F74">
              <w:rPr>
                <w:rFonts w:ascii="標楷體" w:eastAsia="標楷體" w:hAnsi="標楷體" w:hint="eastAsia"/>
                <w:szCs w:val="24"/>
              </w:rPr>
              <w:t>三</w:t>
            </w:r>
            <w:r w:rsidR="000676EB" w:rsidRPr="00102F74">
              <w:rPr>
                <w:rFonts w:ascii="標楷體" w:eastAsia="標楷體" w:hAnsi="標楷體" w:hint="eastAsia"/>
              </w:rPr>
              <w:t>００</w:t>
            </w:r>
            <w:r w:rsidR="00F80F04" w:rsidRPr="00102F74">
              <w:rPr>
                <w:rFonts w:ascii="標楷體" w:eastAsia="標楷體" w:hAnsi="標楷體" w:hint="eastAsia"/>
                <w:szCs w:val="24"/>
              </w:rPr>
              <w:t>號簽准改依承租區塊數量（每承租區塊新</w:t>
            </w:r>
            <w:r w:rsidR="000676EB" w:rsidRPr="00102F74">
              <w:rPr>
                <w:rFonts w:ascii="標楷體" w:eastAsia="標楷體" w:hAnsi="標楷體" w:hint="eastAsia"/>
                <w:szCs w:val="24"/>
              </w:rPr>
              <w:t>臺</w:t>
            </w:r>
            <w:r w:rsidR="00F80F04" w:rsidRPr="00102F74">
              <w:rPr>
                <w:rFonts w:ascii="標楷體" w:eastAsia="標楷體" w:hAnsi="標楷體" w:hint="eastAsia"/>
                <w:szCs w:val="24"/>
              </w:rPr>
              <w:t>幣五千元）計收復舊金。</w:t>
            </w:r>
          </w:p>
        </w:tc>
      </w:tr>
      <w:tr w:rsidR="00352B0B" w:rsidRPr="00F80F04" w14:paraId="118AC397" w14:textId="77777777" w:rsidTr="009C7250">
        <w:trPr>
          <w:trHeight w:val="702"/>
        </w:trPr>
        <w:tc>
          <w:tcPr>
            <w:tcW w:w="3024" w:type="dxa"/>
          </w:tcPr>
          <w:p w14:paraId="698BE5D5" w14:textId="37CB31BC" w:rsidR="00352B0B" w:rsidRPr="00102F74" w:rsidRDefault="00352B0B" w:rsidP="00F527C6">
            <w:pPr>
              <w:ind w:leftChars="-27" w:left="425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lastRenderedPageBreak/>
              <w:t>六、本注意事項未盡事宜，悉依契約書、民法及其他相關法令規定辦理。</w:t>
            </w:r>
          </w:p>
        </w:tc>
        <w:tc>
          <w:tcPr>
            <w:tcW w:w="3024" w:type="dxa"/>
          </w:tcPr>
          <w:p w14:paraId="36FD0787" w14:textId="30B9B0AC" w:rsidR="00352B0B" w:rsidRPr="00102F74" w:rsidRDefault="00352B0B" w:rsidP="00F527C6">
            <w:pPr>
              <w:ind w:leftChars="-21" w:left="440" w:hangingChars="204" w:hanging="490"/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六、本注意事項未盡事宜，悉依契約書、民法及其他相關法令規定辦理。</w:t>
            </w:r>
          </w:p>
        </w:tc>
        <w:tc>
          <w:tcPr>
            <w:tcW w:w="3024" w:type="dxa"/>
          </w:tcPr>
          <w:p w14:paraId="24169625" w14:textId="5A550C13" w:rsidR="00352B0B" w:rsidRPr="00102F74" w:rsidRDefault="00352B0B" w:rsidP="00F80F0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2F74">
              <w:rPr>
                <w:rFonts w:ascii="標楷體" w:eastAsia="標楷體" w:hAnsi="標楷體" w:hint="eastAsia"/>
                <w:szCs w:val="24"/>
              </w:rPr>
              <w:t>本點未修正。</w:t>
            </w:r>
          </w:p>
        </w:tc>
      </w:tr>
    </w:tbl>
    <w:p w14:paraId="5551027B" w14:textId="77777777" w:rsidR="00FC1E40" w:rsidRPr="00CE0456" w:rsidRDefault="00FC1E40" w:rsidP="00CE0456">
      <w:pPr>
        <w:jc w:val="both"/>
        <w:rPr>
          <w:rFonts w:ascii="標楷體" w:eastAsia="標楷體" w:hAnsi="標楷體"/>
          <w:szCs w:val="24"/>
        </w:rPr>
      </w:pPr>
    </w:p>
    <w:sectPr w:rsidR="00FC1E40" w:rsidRPr="00CE0456" w:rsidSect="00C273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5B042" w14:textId="77777777" w:rsidR="00524C60" w:rsidRDefault="00524C60" w:rsidP="00352B0B">
      <w:r>
        <w:separator/>
      </w:r>
    </w:p>
  </w:endnote>
  <w:endnote w:type="continuationSeparator" w:id="0">
    <w:p w14:paraId="369B20FF" w14:textId="77777777" w:rsidR="00524C60" w:rsidRDefault="00524C60" w:rsidP="0035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1E638" w14:textId="77777777" w:rsidR="00524C60" w:rsidRDefault="00524C60" w:rsidP="00352B0B">
      <w:r>
        <w:separator/>
      </w:r>
    </w:p>
  </w:footnote>
  <w:footnote w:type="continuationSeparator" w:id="0">
    <w:p w14:paraId="449AF8BF" w14:textId="77777777" w:rsidR="00524C60" w:rsidRDefault="00524C60" w:rsidP="00352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6"/>
    <w:rsid w:val="00001BFA"/>
    <w:rsid w:val="000676EB"/>
    <w:rsid w:val="00102F74"/>
    <w:rsid w:val="00116FED"/>
    <w:rsid w:val="00170B07"/>
    <w:rsid w:val="002B6484"/>
    <w:rsid w:val="00352B0B"/>
    <w:rsid w:val="0036062A"/>
    <w:rsid w:val="003F2608"/>
    <w:rsid w:val="00524C60"/>
    <w:rsid w:val="005572BF"/>
    <w:rsid w:val="005A096A"/>
    <w:rsid w:val="006C509B"/>
    <w:rsid w:val="00712D8E"/>
    <w:rsid w:val="008038D4"/>
    <w:rsid w:val="008B7988"/>
    <w:rsid w:val="00910D06"/>
    <w:rsid w:val="009B7754"/>
    <w:rsid w:val="009C7250"/>
    <w:rsid w:val="00A11BFD"/>
    <w:rsid w:val="00A14F94"/>
    <w:rsid w:val="00AC579A"/>
    <w:rsid w:val="00B829C5"/>
    <w:rsid w:val="00B8375B"/>
    <w:rsid w:val="00C2730B"/>
    <w:rsid w:val="00CE0456"/>
    <w:rsid w:val="00D04926"/>
    <w:rsid w:val="00DA72FB"/>
    <w:rsid w:val="00E16C16"/>
    <w:rsid w:val="00E2534E"/>
    <w:rsid w:val="00ED0A34"/>
    <w:rsid w:val="00ED506F"/>
    <w:rsid w:val="00F2538A"/>
    <w:rsid w:val="00F527C6"/>
    <w:rsid w:val="00F74785"/>
    <w:rsid w:val="00F80F04"/>
    <w:rsid w:val="00F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EC192"/>
  <w15:docId w15:val="{22CC2EDA-A06E-418A-9236-06E2ED8E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E045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E0456"/>
  </w:style>
  <w:style w:type="character" w:customStyle="1" w:styleId="a5">
    <w:name w:val="註解文字 字元"/>
    <w:basedOn w:val="a0"/>
    <w:link w:val="a4"/>
    <w:uiPriority w:val="99"/>
    <w:semiHidden/>
    <w:rsid w:val="00CE04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CE045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E04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45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10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534E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352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52B0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52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52B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5039-0066-4372-81FB-F29BDF0A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>pthg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2023-04-28T08:22:00Z</cp:lastPrinted>
  <dcterms:created xsi:type="dcterms:W3CDTF">2023-07-04T03:00:00Z</dcterms:created>
  <dcterms:modified xsi:type="dcterms:W3CDTF">2023-07-04T03:00:00Z</dcterms:modified>
</cp:coreProperties>
</file>